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BC" w:rsidRPr="00AA7F62" w:rsidRDefault="00EF58F6" w:rsidP="00EC457D">
      <w:pPr>
        <w:spacing w:line="240" w:lineRule="auto"/>
        <w:ind w:left="708" w:hanging="708"/>
        <w:jc w:val="center"/>
        <w:rPr>
          <w:b/>
        </w:rPr>
      </w:pPr>
      <w:r w:rsidRPr="00AA7F62">
        <w:rPr>
          <w:b/>
        </w:rPr>
        <w:t xml:space="preserve">         </w:t>
      </w:r>
      <w:r w:rsidR="009B17B3" w:rsidRPr="00AA7F62">
        <w:rPr>
          <w:b/>
        </w:rPr>
        <w:t>HATAY VALİLİĞİ YATIRIM İZLEME VE KOORDİNASYON BAŞKANLIĞI</w:t>
      </w:r>
    </w:p>
    <w:p w:rsidR="009B17B3" w:rsidRPr="00AA7F62" w:rsidRDefault="009B17B3" w:rsidP="00EC457D">
      <w:pPr>
        <w:spacing w:line="240" w:lineRule="auto"/>
        <w:ind w:left="708" w:hanging="708"/>
        <w:jc w:val="center"/>
        <w:rPr>
          <w:b/>
        </w:rPr>
      </w:pPr>
      <w:r w:rsidRPr="00AA7F62">
        <w:rPr>
          <w:b/>
        </w:rPr>
        <w:t>TAŞINMAZ SATIŞ İLANI</w:t>
      </w:r>
    </w:p>
    <w:tbl>
      <w:tblPr>
        <w:tblStyle w:val="TabloKlavuzu"/>
        <w:tblpPr w:leftFromText="141" w:rightFromText="141" w:vertAnchor="page" w:horzAnchor="margin" w:tblpX="-181" w:tblpY="1567"/>
        <w:tblW w:w="10632" w:type="dxa"/>
        <w:tblLayout w:type="fixed"/>
        <w:tblLook w:val="04A0" w:firstRow="1" w:lastRow="0" w:firstColumn="1" w:lastColumn="0" w:noHBand="0" w:noVBand="1"/>
      </w:tblPr>
      <w:tblGrid>
        <w:gridCol w:w="455"/>
        <w:gridCol w:w="992"/>
        <w:gridCol w:w="1315"/>
        <w:gridCol w:w="811"/>
        <w:gridCol w:w="607"/>
        <w:gridCol w:w="1094"/>
        <w:gridCol w:w="23"/>
        <w:gridCol w:w="828"/>
        <w:gridCol w:w="1701"/>
        <w:gridCol w:w="1417"/>
        <w:gridCol w:w="1389"/>
      </w:tblGrid>
      <w:tr w:rsidR="00300796" w:rsidRPr="00CB4A2A" w:rsidTr="00AA7F62">
        <w:trPr>
          <w:trHeight w:val="848"/>
        </w:trPr>
        <w:tc>
          <w:tcPr>
            <w:tcW w:w="455" w:type="dxa"/>
          </w:tcPr>
          <w:p w:rsidR="00300796" w:rsidRPr="00CB4A2A" w:rsidRDefault="00300796" w:rsidP="00AA7F62">
            <w:pPr>
              <w:ind w:left="-543"/>
              <w:jc w:val="right"/>
              <w:rPr>
                <w:sz w:val="18"/>
                <w:szCs w:val="15"/>
              </w:rPr>
            </w:pPr>
            <w:r w:rsidRPr="00CB4A2A">
              <w:rPr>
                <w:sz w:val="18"/>
                <w:szCs w:val="15"/>
              </w:rPr>
              <w:t xml:space="preserve">   </w:t>
            </w:r>
          </w:p>
          <w:p w:rsidR="00300796" w:rsidRPr="00CB4A2A" w:rsidRDefault="00300796" w:rsidP="00AA7F62">
            <w:pPr>
              <w:ind w:left="-543"/>
              <w:jc w:val="right"/>
              <w:rPr>
                <w:sz w:val="18"/>
                <w:szCs w:val="15"/>
              </w:rPr>
            </w:pPr>
            <w:r w:rsidRPr="00CB4A2A">
              <w:rPr>
                <w:sz w:val="18"/>
                <w:szCs w:val="15"/>
              </w:rPr>
              <w:t>S.N</w:t>
            </w:r>
          </w:p>
        </w:tc>
        <w:tc>
          <w:tcPr>
            <w:tcW w:w="992" w:type="dxa"/>
          </w:tcPr>
          <w:p w:rsidR="00300796" w:rsidRPr="00CB4A2A" w:rsidRDefault="00300796" w:rsidP="00AA7F62">
            <w:pPr>
              <w:rPr>
                <w:sz w:val="18"/>
                <w:szCs w:val="15"/>
              </w:rPr>
            </w:pPr>
          </w:p>
          <w:p w:rsidR="00300796" w:rsidRPr="00CB4A2A" w:rsidRDefault="00300796" w:rsidP="00AA7F62">
            <w:pPr>
              <w:rPr>
                <w:sz w:val="18"/>
                <w:szCs w:val="15"/>
              </w:rPr>
            </w:pPr>
            <w:r w:rsidRPr="00CB4A2A">
              <w:rPr>
                <w:sz w:val="18"/>
                <w:szCs w:val="15"/>
              </w:rPr>
              <w:t>İLÇESİ</w:t>
            </w:r>
          </w:p>
        </w:tc>
        <w:tc>
          <w:tcPr>
            <w:tcW w:w="1315" w:type="dxa"/>
          </w:tcPr>
          <w:p w:rsidR="00300796" w:rsidRPr="00CB4A2A" w:rsidRDefault="00300796" w:rsidP="00AA7F62">
            <w:pPr>
              <w:rPr>
                <w:sz w:val="18"/>
                <w:szCs w:val="15"/>
              </w:rPr>
            </w:pPr>
          </w:p>
          <w:p w:rsidR="00300796" w:rsidRPr="00CB4A2A" w:rsidRDefault="00300796" w:rsidP="00AA7F62">
            <w:pPr>
              <w:rPr>
                <w:sz w:val="18"/>
                <w:szCs w:val="15"/>
              </w:rPr>
            </w:pPr>
            <w:r w:rsidRPr="00CB4A2A">
              <w:rPr>
                <w:sz w:val="18"/>
                <w:szCs w:val="15"/>
              </w:rPr>
              <w:t>MAHALLESİ</w:t>
            </w:r>
          </w:p>
        </w:tc>
        <w:tc>
          <w:tcPr>
            <w:tcW w:w="811" w:type="dxa"/>
          </w:tcPr>
          <w:p w:rsidR="00300796" w:rsidRPr="00CB4A2A" w:rsidRDefault="00300796" w:rsidP="00AA7F62">
            <w:pPr>
              <w:rPr>
                <w:sz w:val="18"/>
                <w:szCs w:val="15"/>
              </w:rPr>
            </w:pPr>
          </w:p>
          <w:p w:rsidR="00300796" w:rsidRPr="00CB4A2A" w:rsidRDefault="00064ED7" w:rsidP="00AA7F62">
            <w:pPr>
              <w:rPr>
                <w:sz w:val="18"/>
                <w:szCs w:val="15"/>
              </w:rPr>
            </w:pPr>
            <w:r>
              <w:rPr>
                <w:sz w:val="18"/>
                <w:szCs w:val="15"/>
              </w:rPr>
              <w:t>PARSEL</w:t>
            </w:r>
          </w:p>
        </w:tc>
        <w:tc>
          <w:tcPr>
            <w:tcW w:w="607" w:type="dxa"/>
          </w:tcPr>
          <w:p w:rsidR="00300796" w:rsidRPr="00CB4A2A" w:rsidRDefault="00300796" w:rsidP="00AA7F62">
            <w:pPr>
              <w:rPr>
                <w:sz w:val="18"/>
                <w:szCs w:val="15"/>
              </w:rPr>
            </w:pPr>
          </w:p>
          <w:p w:rsidR="00300796" w:rsidRPr="00CB4A2A" w:rsidRDefault="00064ED7" w:rsidP="00AA7F62">
            <w:pPr>
              <w:rPr>
                <w:sz w:val="18"/>
                <w:szCs w:val="15"/>
              </w:rPr>
            </w:pPr>
            <w:r>
              <w:rPr>
                <w:sz w:val="18"/>
                <w:szCs w:val="15"/>
              </w:rPr>
              <w:t>ARSAPAYI</w:t>
            </w:r>
          </w:p>
        </w:tc>
        <w:tc>
          <w:tcPr>
            <w:tcW w:w="1094" w:type="dxa"/>
          </w:tcPr>
          <w:p w:rsidR="00300796" w:rsidRPr="00CB4A2A" w:rsidRDefault="00300796" w:rsidP="00AA7F62">
            <w:pPr>
              <w:rPr>
                <w:sz w:val="18"/>
                <w:szCs w:val="15"/>
              </w:rPr>
            </w:pPr>
          </w:p>
          <w:p w:rsidR="00300796" w:rsidRPr="00CB4A2A" w:rsidRDefault="00300796" w:rsidP="00AA7F62">
            <w:pPr>
              <w:rPr>
                <w:sz w:val="18"/>
                <w:szCs w:val="15"/>
              </w:rPr>
            </w:pPr>
            <w:r w:rsidRPr="00CB4A2A">
              <w:rPr>
                <w:sz w:val="18"/>
                <w:szCs w:val="15"/>
              </w:rPr>
              <w:t>YÜZÖLÇÜM         (M²)</w:t>
            </w:r>
          </w:p>
        </w:tc>
        <w:tc>
          <w:tcPr>
            <w:tcW w:w="851" w:type="dxa"/>
            <w:gridSpan w:val="2"/>
          </w:tcPr>
          <w:p w:rsidR="00300796" w:rsidRPr="00CB4A2A" w:rsidRDefault="00300796" w:rsidP="00AA7F62">
            <w:pPr>
              <w:jc w:val="center"/>
              <w:rPr>
                <w:sz w:val="18"/>
                <w:szCs w:val="15"/>
              </w:rPr>
            </w:pPr>
          </w:p>
          <w:p w:rsidR="00300796" w:rsidRPr="00CB4A2A" w:rsidRDefault="00300796" w:rsidP="00AA7F62">
            <w:pPr>
              <w:jc w:val="center"/>
              <w:rPr>
                <w:sz w:val="18"/>
                <w:szCs w:val="15"/>
              </w:rPr>
            </w:pPr>
            <w:r w:rsidRPr="00CB4A2A">
              <w:rPr>
                <w:sz w:val="18"/>
                <w:szCs w:val="15"/>
              </w:rPr>
              <w:t>HİSSESİ</w:t>
            </w:r>
          </w:p>
          <w:p w:rsidR="00300796" w:rsidRPr="00CB4A2A" w:rsidRDefault="00300796" w:rsidP="00AA7F62">
            <w:pPr>
              <w:jc w:val="center"/>
              <w:rPr>
                <w:sz w:val="18"/>
                <w:szCs w:val="15"/>
              </w:rPr>
            </w:pPr>
            <w:r w:rsidRPr="00CB4A2A">
              <w:rPr>
                <w:sz w:val="18"/>
                <w:szCs w:val="15"/>
              </w:rPr>
              <w:t>(M²)</w:t>
            </w:r>
          </w:p>
        </w:tc>
        <w:tc>
          <w:tcPr>
            <w:tcW w:w="1701" w:type="dxa"/>
          </w:tcPr>
          <w:p w:rsidR="00CB4A2A" w:rsidRDefault="00300796" w:rsidP="00AA7F62">
            <w:pPr>
              <w:rPr>
                <w:sz w:val="18"/>
                <w:szCs w:val="15"/>
              </w:rPr>
            </w:pPr>
            <w:r w:rsidRPr="00CB4A2A">
              <w:rPr>
                <w:sz w:val="18"/>
                <w:szCs w:val="15"/>
              </w:rPr>
              <w:t xml:space="preserve">     </w:t>
            </w:r>
          </w:p>
          <w:p w:rsidR="00300796" w:rsidRPr="00CB4A2A" w:rsidRDefault="00300796" w:rsidP="00AA7F62">
            <w:pPr>
              <w:rPr>
                <w:sz w:val="18"/>
                <w:szCs w:val="15"/>
              </w:rPr>
            </w:pPr>
            <w:r w:rsidRPr="00CB4A2A">
              <w:rPr>
                <w:sz w:val="18"/>
                <w:szCs w:val="15"/>
              </w:rPr>
              <w:t xml:space="preserve">    </w:t>
            </w:r>
            <w:r w:rsidR="00CB4A2A">
              <w:rPr>
                <w:sz w:val="18"/>
                <w:szCs w:val="15"/>
              </w:rPr>
              <w:t xml:space="preserve">       </w:t>
            </w:r>
            <w:r w:rsidRPr="00CB4A2A">
              <w:rPr>
                <w:sz w:val="18"/>
                <w:szCs w:val="15"/>
              </w:rPr>
              <w:t xml:space="preserve"> İMAR </w:t>
            </w:r>
          </w:p>
          <w:p w:rsidR="00300796" w:rsidRPr="00CB4A2A" w:rsidRDefault="00300796" w:rsidP="00AA7F62">
            <w:pPr>
              <w:rPr>
                <w:sz w:val="18"/>
                <w:szCs w:val="15"/>
              </w:rPr>
            </w:pPr>
            <w:r w:rsidRPr="00CB4A2A">
              <w:rPr>
                <w:sz w:val="18"/>
                <w:szCs w:val="15"/>
              </w:rPr>
              <w:t xml:space="preserve"> </w:t>
            </w:r>
            <w:r w:rsidR="00CB4A2A">
              <w:rPr>
                <w:sz w:val="18"/>
                <w:szCs w:val="15"/>
              </w:rPr>
              <w:t xml:space="preserve">       </w:t>
            </w:r>
            <w:r w:rsidRPr="00CB4A2A">
              <w:rPr>
                <w:sz w:val="18"/>
                <w:szCs w:val="15"/>
              </w:rPr>
              <w:t>DURUMU</w:t>
            </w:r>
          </w:p>
        </w:tc>
        <w:tc>
          <w:tcPr>
            <w:tcW w:w="1417" w:type="dxa"/>
          </w:tcPr>
          <w:p w:rsidR="00300796" w:rsidRPr="00CB4A2A" w:rsidRDefault="00300796" w:rsidP="00AA7F62">
            <w:pPr>
              <w:jc w:val="center"/>
              <w:rPr>
                <w:sz w:val="18"/>
                <w:szCs w:val="15"/>
              </w:rPr>
            </w:pPr>
          </w:p>
          <w:p w:rsidR="00300796" w:rsidRPr="00CB4A2A" w:rsidRDefault="00300796" w:rsidP="00AA7F62">
            <w:pPr>
              <w:jc w:val="center"/>
              <w:rPr>
                <w:sz w:val="18"/>
                <w:szCs w:val="15"/>
              </w:rPr>
            </w:pPr>
            <w:r w:rsidRPr="00CB4A2A">
              <w:rPr>
                <w:sz w:val="18"/>
                <w:szCs w:val="15"/>
              </w:rPr>
              <w:t>MUAMMEN BEDELİ</w:t>
            </w:r>
          </w:p>
        </w:tc>
        <w:tc>
          <w:tcPr>
            <w:tcW w:w="1389" w:type="dxa"/>
          </w:tcPr>
          <w:p w:rsidR="00300796" w:rsidRPr="00CB4A2A" w:rsidRDefault="00300796" w:rsidP="00AA7F62">
            <w:pPr>
              <w:jc w:val="center"/>
              <w:rPr>
                <w:sz w:val="18"/>
                <w:szCs w:val="15"/>
              </w:rPr>
            </w:pPr>
          </w:p>
          <w:p w:rsidR="00300796" w:rsidRPr="00CB4A2A" w:rsidRDefault="00E80164" w:rsidP="00AA7F62">
            <w:pPr>
              <w:jc w:val="center"/>
              <w:rPr>
                <w:sz w:val="18"/>
                <w:szCs w:val="15"/>
              </w:rPr>
            </w:pPr>
            <w:r>
              <w:rPr>
                <w:sz w:val="18"/>
                <w:szCs w:val="15"/>
              </w:rPr>
              <w:t>GEÇİCİ TEMİNAT(%3</w:t>
            </w:r>
            <w:r w:rsidR="00300796" w:rsidRPr="00CB4A2A">
              <w:rPr>
                <w:sz w:val="18"/>
                <w:szCs w:val="15"/>
              </w:rPr>
              <w:t>)</w:t>
            </w:r>
          </w:p>
        </w:tc>
      </w:tr>
      <w:tr w:rsidR="00300796" w:rsidRPr="00CB4A2A" w:rsidTr="00AA7F62">
        <w:trPr>
          <w:trHeight w:val="620"/>
        </w:trPr>
        <w:tc>
          <w:tcPr>
            <w:tcW w:w="455" w:type="dxa"/>
          </w:tcPr>
          <w:p w:rsidR="00E80164" w:rsidRDefault="00E80164" w:rsidP="00AA7F62">
            <w:pPr>
              <w:rPr>
                <w:sz w:val="18"/>
                <w:szCs w:val="17"/>
              </w:rPr>
            </w:pPr>
          </w:p>
          <w:p w:rsidR="00300796" w:rsidRPr="00CB4A2A" w:rsidRDefault="00300796" w:rsidP="00AA7F62">
            <w:pPr>
              <w:rPr>
                <w:sz w:val="18"/>
                <w:szCs w:val="17"/>
              </w:rPr>
            </w:pPr>
            <w:r w:rsidRPr="00CB4A2A">
              <w:rPr>
                <w:sz w:val="18"/>
                <w:szCs w:val="17"/>
              </w:rPr>
              <w:t>1</w:t>
            </w:r>
          </w:p>
        </w:tc>
        <w:tc>
          <w:tcPr>
            <w:tcW w:w="992" w:type="dxa"/>
          </w:tcPr>
          <w:p w:rsidR="00E80164" w:rsidRDefault="00E80164" w:rsidP="00AA7F62">
            <w:pPr>
              <w:rPr>
                <w:sz w:val="18"/>
                <w:szCs w:val="17"/>
              </w:rPr>
            </w:pPr>
          </w:p>
          <w:p w:rsidR="00300796" w:rsidRPr="00CB4A2A" w:rsidRDefault="00064ED7" w:rsidP="00AA7F62">
            <w:pPr>
              <w:rPr>
                <w:sz w:val="18"/>
                <w:szCs w:val="17"/>
              </w:rPr>
            </w:pPr>
            <w:r>
              <w:rPr>
                <w:sz w:val="18"/>
                <w:szCs w:val="17"/>
              </w:rPr>
              <w:t>ANTAKYA</w:t>
            </w:r>
          </w:p>
        </w:tc>
        <w:tc>
          <w:tcPr>
            <w:tcW w:w="1315" w:type="dxa"/>
          </w:tcPr>
          <w:p w:rsidR="00064ED7" w:rsidRDefault="00064ED7" w:rsidP="00AA7F62">
            <w:pPr>
              <w:rPr>
                <w:sz w:val="18"/>
                <w:szCs w:val="17"/>
              </w:rPr>
            </w:pPr>
          </w:p>
          <w:p w:rsidR="00300796" w:rsidRPr="00CB4A2A" w:rsidRDefault="00064ED7" w:rsidP="00AA7F62">
            <w:pPr>
              <w:rPr>
                <w:sz w:val="18"/>
                <w:szCs w:val="17"/>
              </w:rPr>
            </w:pPr>
            <w:r>
              <w:rPr>
                <w:sz w:val="18"/>
                <w:szCs w:val="17"/>
              </w:rPr>
              <w:t>2. MINTIKA</w:t>
            </w:r>
          </w:p>
        </w:tc>
        <w:tc>
          <w:tcPr>
            <w:tcW w:w="811" w:type="dxa"/>
          </w:tcPr>
          <w:p w:rsidR="00064ED7" w:rsidRDefault="00064ED7" w:rsidP="00AA7F62">
            <w:pPr>
              <w:rPr>
                <w:sz w:val="18"/>
                <w:szCs w:val="17"/>
              </w:rPr>
            </w:pPr>
          </w:p>
          <w:p w:rsidR="00300796" w:rsidRPr="00CB4A2A" w:rsidRDefault="00064ED7" w:rsidP="00AA7F62">
            <w:pPr>
              <w:rPr>
                <w:sz w:val="18"/>
                <w:szCs w:val="17"/>
              </w:rPr>
            </w:pPr>
            <w:r>
              <w:rPr>
                <w:sz w:val="18"/>
                <w:szCs w:val="17"/>
              </w:rPr>
              <w:t>492</w:t>
            </w:r>
          </w:p>
        </w:tc>
        <w:tc>
          <w:tcPr>
            <w:tcW w:w="607" w:type="dxa"/>
          </w:tcPr>
          <w:p w:rsidR="00E80164" w:rsidRDefault="00E80164" w:rsidP="00AA7F62">
            <w:pPr>
              <w:rPr>
                <w:sz w:val="18"/>
                <w:szCs w:val="17"/>
              </w:rPr>
            </w:pPr>
          </w:p>
          <w:p w:rsidR="00300796" w:rsidRPr="00CB4A2A" w:rsidRDefault="00064ED7" w:rsidP="00AA7F62">
            <w:pPr>
              <w:rPr>
                <w:sz w:val="18"/>
                <w:szCs w:val="17"/>
              </w:rPr>
            </w:pPr>
            <w:r>
              <w:rPr>
                <w:sz w:val="18"/>
                <w:szCs w:val="17"/>
              </w:rPr>
              <w:t>200/1900</w:t>
            </w:r>
          </w:p>
        </w:tc>
        <w:tc>
          <w:tcPr>
            <w:tcW w:w="1117" w:type="dxa"/>
            <w:gridSpan w:val="2"/>
          </w:tcPr>
          <w:p w:rsidR="00E80164" w:rsidRDefault="00E80164" w:rsidP="00AA7F62">
            <w:pPr>
              <w:rPr>
                <w:sz w:val="18"/>
                <w:szCs w:val="17"/>
              </w:rPr>
            </w:pPr>
          </w:p>
          <w:p w:rsidR="00300796" w:rsidRPr="00CB4A2A" w:rsidRDefault="00A85CF2" w:rsidP="00AA7F62">
            <w:pPr>
              <w:jc w:val="center"/>
              <w:rPr>
                <w:sz w:val="18"/>
                <w:szCs w:val="17"/>
              </w:rPr>
            </w:pPr>
            <w:r>
              <w:rPr>
                <w:sz w:val="18"/>
                <w:szCs w:val="17"/>
              </w:rPr>
              <w:t>649</w:t>
            </w:r>
          </w:p>
        </w:tc>
        <w:tc>
          <w:tcPr>
            <w:tcW w:w="828" w:type="dxa"/>
          </w:tcPr>
          <w:p w:rsidR="00E80164" w:rsidRDefault="00E80164" w:rsidP="00AA7F62">
            <w:pPr>
              <w:rPr>
                <w:sz w:val="18"/>
                <w:szCs w:val="17"/>
              </w:rPr>
            </w:pPr>
          </w:p>
          <w:p w:rsidR="00300796" w:rsidRPr="00CB4A2A" w:rsidRDefault="00300796" w:rsidP="00AA7F62">
            <w:pPr>
              <w:rPr>
                <w:sz w:val="18"/>
                <w:szCs w:val="17"/>
              </w:rPr>
            </w:pPr>
            <w:r w:rsidRPr="00CB4A2A">
              <w:rPr>
                <w:sz w:val="18"/>
                <w:szCs w:val="17"/>
              </w:rPr>
              <w:t>TAM</w:t>
            </w:r>
          </w:p>
        </w:tc>
        <w:tc>
          <w:tcPr>
            <w:tcW w:w="1701" w:type="dxa"/>
          </w:tcPr>
          <w:p w:rsidR="00ED1B86" w:rsidRDefault="00ED1B86" w:rsidP="00AA7F62">
            <w:pPr>
              <w:jc w:val="center"/>
              <w:rPr>
                <w:sz w:val="18"/>
                <w:szCs w:val="17"/>
              </w:rPr>
            </w:pPr>
          </w:p>
          <w:p w:rsidR="00300796" w:rsidRPr="00CB4A2A" w:rsidRDefault="00A85CF2" w:rsidP="00AA7F62">
            <w:pPr>
              <w:jc w:val="center"/>
              <w:rPr>
                <w:sz w:val="18"/>
                <w:szCs w:val="17"/>
              </w:rPr>
            </w:pPr>
            <w:r>
              <w:rPr>
                <w:sz w:val="18"/>
                <w:szCs w:val="17"/>
              </w:rPr>
              <w:t>Mesken</w:t>
            </w:r>
          </w:p>
        </w:tc>
        <w:tc>
          <w:tcPr>
            <w:tcW w:w="1417" w:type="dxa"/>
          </w:tcPr>
          <w:p w:rsidR="00064ED7" w:rsidRDefault="00064ED7" w:rsidP="00AA7F62">
            <w:pPr>
              <w:jc w:val="both"/>
              <w:rPr>
                <w:sz w:val="18"/>
                <w:szCs w:val="17"/>
              </w:rPr>
            </w:pPr>
          </w:p>
          <w:p w:rsidR="00300796" w:rsidRPr="00CB4A2A" w:rsidRDefault="00064ED7" w:rsidP="00AA7F62">
            <w:pPr>
              <w:jc w:val="both"/>
              <w:rPr>
                <w:sz w:val="18"/>
                <w:szCs w:val="17"/>
              </w:rPr>
            </w:pPr>
            <w:r>
              <w:rPr>
                <w:sz w:val="18"/>
                <w:szCs w:val="17"/>
              </w:rPr>
              <w:t>750.000,00-TL</w:t>
            </w:r>
          </w:p>
        </w:tc>
        <w:tc>
          <w:tcPr>
            <w:tcW w:w="1389" w:type="dxa"/>
          </w:tcPr>
          <w:p w:rsidR="00E80164" w:rsidRDefault="00E80164" w:rsidP="00AA7F62">
            <w:pPr>
              <w:rPr>
                <w:sz w:val="18"/>
                <w:szCs w:val="17"/>
              </w:rPr>
            </w:pPr>
          </w:p>
          <w:p w:rsidR="00300796" w:rsidRPr="00CB4A2A" w:rsidRDefault="00064ED7" w:rsidP="00AA7F62">
            <w:pPr>
              <w:rPr>
                <w:sz w:val="18"/>
                <w:szCs w:val="17"/>
              </w:rPr>
            </w:pPr>
            <w:r>
              <w:rPr>
                <w:sz w:val="18"/>
                <w:szCs w:val="17"/>
              </w:rPr>
              <w:t>22.500,00</w:t>
            </w:r>
            <w:r w:rsidR="00E80164">
              <w:rPr>
                <w:sz w:val="18"/>
                <w:szCs w:val="17"/>
              </w:rPr>
              <w:t>-TL</w:t>
            </w:r>
          </w:p>
        </w:tc>
      </w:tr>
    </w:tbl>
    <w:p w:rsidR="002567B5" w:rsidRDefault="00A3503F" w:rsidP="009302CB">
      <w:r>
        <w:t xml:space="preserve">                                      </w:t>
      </w:r>
    </w:p>
    <w:p w:rsidR="00CB4A2A" w:rsidRPr="00162C9F" w:rsidRDefault="000B5114" w:rsidP="00CB4A2A">
      <w:pPr>
        <w:spacing w:after="0" w:line="288" w:lineRule="auto"/>
        <w:ind w:left="-142" w:right="-142"/>
        <w:jc w:val="both"/>
        <w:rPr>
          <w:rFonts w:cstheme="minorHAnsi"/>
          <w:b/>
          <w:sz w:val="24"/>
          <w:szCs w:val="24"/>
        </w:rPr>
      </w:pPr>
      <w:r w:rsidRPr="00CB4A2A">
        <w:rPr>
          <w:rFonts w:cstheme="minorHAnsi"/>
          <w:b/>
          <w:sz w:val="24"/>
          <w:szCs w:val="24"/>
        </w:rPr>
        <w:t>1-</w:t>
      </w:r>
      <w:r w:rsidRPr="00162C9F">
        <w:rPr>
          <w:rFonts w:cstheme="minorHAnsi"/>
          <w:sz w:val="24"/>
          <w:szCs w:val="24"/>
        </w:rPr>
        <w:t>Yukarıda niteli</w:t>
      </w:r>
      <w:r w:rsidR="00300796" w:rsidRPr="00162C9F">
        <w:rPr>
          <w:rFonts w:cstheme="minorHAnsi"/>
          <w:sz w:val="24"/>
          <w:szCs w:val="24"/>
        </w:rPr>
        <w:t>ği</w:t>
      </w:r>
      <w:r w:rsidRPr="00162C9F">
        <w:rPr>
          <w:rFonts w:cstheme="minorHAnsi"/>
          <w:sz w:val="24"/>
          <w:szCs w:val="24"/>
        </w:rPr>
        <w:t xml:space="preserve"> belirtilen </w:t>
      </w:r>
      <w:r w:rsidRPr="006908BC">
        <w:rPr>
          <w:rFonts w:cstheme="minorHAnsi"/>
          <w:sz w:val="24"/>
          <w:szCs w:val="24"/>
        </w:rPr>
        <w:t>taşınmaz</w:t>
      </w:r>
      <w:r w:rsidR="006908BC">
        <w:rPr>
          <w:rFonts w:cstheme="minorHAnsi"/>
          <w:sz w:val="24"/>
          <w:szCs w:val="24"/>
        </w:rPr>
        <w:t xml:space="preserve">; </w:t>
      </w:r>
      <w:r w:rsidR="006908BC" w:rsidRPr="006908BC">
        <w:rPr>
          <w:rFonts w:cstheme="minorHAnsi"/>
          <w:sz w:val="24"/>
          <w:szCs w:val="24"/>
        </w:rPr>
        <w:t>01.02</w:t>
      </w:r>
      <w:r w:rsidR="00064ED7" w:rsidRPr="006908BC">
        <w:rPr>
          <w:rFonts w:cstheme="minorHAnsi"/>
          <w:sz w:val="24"/>
          <w:szCs w:val="24"/>
        </w:rPr>
        <w:t xml:space="preserve">.2021 </w:t>
      </w:r>
      <w:r w:rsidR="006908BC">
        <w:rPr>
          <w:rFonts w:cstheme="minorHAnsi"/>
          <w:sz w:val="24"/>
          <w:szCs w:val="24"/>
        </w:rPr>
        <w:t>Pazartesi</w:t>
      </w:r>
      <w:r w:rsidR="00064ED7" w:rsidRPr="006908BC">
        <w:rPr>
          <w:rFonts w:cstheme="minorHAnsi"/>
          <w:sz w:val="24"/>
          <w:szCs w:val="24"/>
        </w:rPr>
        <w:t xml:space="preserve"> </w:t>
      </w:r>
      <w:r w:rsidR="00300796" w:rsidRPr="006908BC">
        <w:rPr>
          <w:rFonts w:cstheme="minorHAnsi"/>
          <w:sz w:val="24"/>
          <w:szCs w:val="24"/>
        </w:rPr>
        <w:t xml:space="preserve">günü saat </w:t>
      </w:r>
      <w:r w:rsidR="006908BC">
        <w:rPr>
          <w:rFonts w:cstheme="minorHAnsi"/>
          <w:sz w:val="24"/>
          <w:szCs w:val="24"/>
        </w:rPr>
        <w:t>14:00</w:t>
      </w:r>
      <w:r w:rsidR="00300796" w:rsidRPr="00162C9F">
        <w:rPr>
          <w:rFonts w:cstheme="minorHAnsi"/>
          <w:sz w:val="24"/>
          <w:szCs w:val="24"/>
        </w:rPr>
        <w:t xml:space="preserve"> da </w:t>
      </w:r>
      <w:r w:rsidRPr="00162C9F">
        <w:rPr>
          <w:rFonts w:cstheme="minorHAnsi"/>
          <w:sz w:val="24"/>
          <w:szCs w:val="24"/>
        </w:rPr>
        <w:t xml:space="preserve">Yatırım İzleme ve Koordinasyon Başkanlığı ihale toplantı salonunda 2886 sayılı Kanunun 35/a maddesi uyarınca kapalı teklif usulü arttırma sureti ile satış ihalesi yapılacaktır. Şartname bedeli </w:t>
      </w:r>
      <w:r w:rsidR="006908BC" w:rsidRPr="00AA7F62">
        <w:rPr>
          <w:rFonts w:cstheme="minorHAnsi"/>
          <w:sz w:val="24"/>
          <w:szCs w:val="24"/>
        </w:rPr>
        <w:t>500</w:t>
      </w:r>
      <w:r w:rsidRPr="00AA7F62">
        <w:rPr>
          <w:rFonts w:cstheme="minorHAnsi"/>
          <w:sz w:val="24"/>
          <w:szCs w:val="24"/>
        </w:rPr>
        <w:t>,00-TL(</w:t>
      </w:r>
      <w:r w:rsidR="006908BC" w:rsidRPr="00AA7F62">
        <w:rPr>
          <w:rFonts w:cstheme="minorHAnsi"/>
          <w:sz w:val="24"/>
          <w:szCs w:val="24"/>
        </w:rPr>
        <w:t>beşyüz</w:t>
      </w:r>
      <w:r w:rsidRPr="00AA7F62">
        <w:rPr>
          <w:rFonts w:cstheme="minorHAnsi"/>
          <w:sz w:val="24"/>
          <w:szCs w:val="24"/>
        </w:rPr>
        <w:t>)</w:t>
      </w:r>
      <w:r w:rsidRPr="00162C9F">
        <w:rPr>
          <w:rFonts w:cstheme="minorHAnsi"/>
          <w:sz w:val="24"/>
          <w:szCs w:val="24"/>
        </w:rPr>
        <w:t xml:space="preserve"> olup, şartname mesai saatleri içerisinde Hatay Yatırım İzleme ve Koordinasyon Başkanlığı İdari ve Mali İşler Müdürlüğünde (4.Kat) görülebilir. İhaleye katılmak isteyen istekliler dosya bedelini Başkanlığımızın T.C. Ziraat Bankası Antakya Şubesi nezdindeki TR42 0001 0003 0667 9687 7050 01 no.lu hesabına yatırması gerekmektedir.</w:t>
      </w:r>
    </w:p>
    <w:p w:rsidR="00162C9F" w:rsidRDefault="000A228F" w:rsidP="00162C9F">
      <w:pPr>
        <w:spacing w:after="0" w:line="288" w:lineRule="auto"/>
        <w:ind w:left="-142" w:right="-142"/>
        <w:jc w:val="both"/>
        <w:rPr>
          <w:rFonts w:cstheme="minorHAnsi"/>
          <w:sz w:val="24"/>
          <w:szCs w:val="24"/>
        </w:rPr>
      </w:pPr>
      <w:r w:rsidRPr="00162C9F">
        <w:rPr>
          <w:rFonts w:cstheme="minorHAnsi"/>
          <w:b/>
          <w:sz w:val="24"/>
          <w:szCs w:val="24"/>
        </w:rPr>
        <w:t>2</w:t>
      </w:r>
      <w:r w:rsidR="00300796" w:rsidRPr="00162C9F">
        <w:rPr>
          <w:rFonts w:cstheme="minorHAnsi"/>
          <w:b/>
          <w:sz w:val="24"/>
          <w:szCs w:val="24"/>
        </w:rPr>
        <w:t>-</w:t>
      </w:r>
      <w:r w:rsidR="00C32DE2" w:rsidRPr="00162C9F">
        <w:rPr>
          <w:rFonts w:cstheme="minorHAnsi"/>
          <w:sz w:val="24"/>
          <w:szCs w:val="24"/>
        </w:rPr>
        <w:t xml:space="preserve"> Muhammen bedelin altında verilen teklifler geçersiz kabul edilecektir.</w:t>
      </w:r>
    </w:p>
    <w:p w:rsidR="00162C9F" w:rsidRPr="00162C9F" w:rsidRDefault="00C32DE2" w:rsidP="00162C9F">
      <w:pPr>
        <w:spacing w:after="0" w:line="288" w:lineRule="auto"/>
        <w:ind w:left="-142" w:right="-142"/>
        <w:jc w:val="both"/>
        <w:rPr>
          <w:rFonts w:cstheme="minorHAnsi"/>
          <w:sz w:val="24"/>
          <w:szCs w:val="24"/>
        </w:rPr>
      </w:pPr>
      <w:r w:rsidRPr="00162C9F">
        <w:rPr>
          <w:rFonts w:cstheme="minorHAnsi"/>
          <w:b/>
          <w:sz w:val="24"/>
          <w:szCs w:val="24"/>
        </w:rPr>
        <w:t>3</w:t>
      </w:r>
      <w:r w:rsidR="000B5114" w:rsidRPr="00162C9F">
        <w:rPr>
          <w:rFonts w:cstheme="minorHAnsi"/>
          <w:sz w:val="24"/>
          <w:szCs w:val="24"/>
        </w:rPr>
        <w:t xml:space="preserve">- </w:t>
      </w:r>
      <w:r w:rsidR="00162C9F" w:rsidRPr="00162C9F">
        <w:rPr>
          <w:rFonts w:cstheme="minorHAnsi"/>
          <w:b/>
          <w:sz w:val="24"/>
          <w:szCs w:val="24"/>
        </w:rPr>
        <w:t>Gayrimenkul Ruhsat ve Proje Bilgileri</w:t>
      </w:r>
      <w:r w:rsidR="00162C9F" w:rsidRPr="00162C9F">
        <w:rPr>
          <w:rFonts w:cstheme="minorHAnsi"/>
          <w:sz w:val="24"/>
          <w:szCs w:val="24"/>
        </w:rPr>
        <w:t xml:space="preserve">: Antakya Belediyesi’nin </w:t>
      </w:r>
      <w:r w:rsidR="00162C9F" w:rsidRPr="00AA7F62">
        <w:rPr>
          <w:rFonts w:cstheme="minorHAnsi"/>
          <w:sz w:val="24"/>
          <w:szCs w:val="24"/>
        </w:rPr>
        <w:t>23.12.2020</w:t>
      </w:r>
      <w:r w:rsidR="00162C9F" w:rsidRPr="00162C9F">
        <w:rPr>
          <w:rFonts w:cstheme="minorHAnsi"/>
          <w:sz w:val="24"/>
          <w:szCs w:val="24"/>
        </w:rPr>
        <w:t xml:space="preserve"> tarih ve 19597 sayılı yazısı ve eklerine göre; </w:t>
      </w:r>
      <w:r w:rsidR="005B79A8">
        <w:rPr>
          <w:rFonts w:cstheme="minorHAnsi"/>
          <w:sz w:val="24"/>
          <w:szCs w:val="24"/>
        </w:rPr>
        <w:t>s</w:t>
      </w:r>
      <w:r w:rsidR="006908BC">
        <w:rPr>
          <w:rFonts w:cstheme="minorHAnsi"/>
          <w:sz w:val="24"/>
          <w:szCs w:val="24"/>
        </w:rPr>
        <w:t xml:space="preserve">öz konusu taşınmazın </w:t>
      </w:r>
      <w:r w:rsidR="00162C9F" w:rsidRPr="00162C9F">
        <w:rPr>
          <w:rFonts w:cstheme="minorHAnsi"/>
          <w:sz w:val="24"/>
          <w:szCs w:val="24"/>
        </w:rPr>
        <w:t>12.10.1962 tarih ve 109/3 sayılı “Yapı Ruhsatı” ile 02.06.1964 tarih ve 1/22 sayılı “Yapı Kullanma İzin Belgesi” olduğu belirtilmiştir.</w:t>
      </w:r>
    </w:p>
    <w:p w:rsidR="00015455" w:rsidRDefault="00162C9F" w:rsidP="00015455">
      <w:pPr>
        <w:spacing w:line="240" w:lineRule="auto"/>
        <w:jc w:val="both"/>
        <w:rPr>
          <w:rFonts w:cstheme="minorHAnsi"/>
          <w:sz w:val="24"/>
          <w:szCs w:val="24"/>
        </w:rPr>
      </w:pPr>
      <w:r w:rsidRPr="00015455">
        <w:rPr>
          <w:rFonts w:cstheme="minorHAnsi"/>
          <w:b/>
          <w:sz w:val="24"/>
          <w:szCs w:val="24"/>
        </w:rPr>
        <w:t>Gayrimenkule Ulaşım ve Yol Tarifi:</w:t>
      </w:r>
      <w:r w:rsidRPr="00162C9F">
        <w:rPr>
          <w:rFonts w:cstheme="minorHAnsi"/>
          <w:sz w:val="24"/>
          <w:szCs w:val="24"/>
        </w:rPr>
        <w:t xml:space="preserve"> Taşınmaz Hatay Valiliği Yatırım İzleme Koordinasyon Başkanlığının karşı çaprazında ve Fevzi Çakmak Caddesi üzerinde yer almaktadır. Taşınmaz ufki olarak İnönü Caddesine 70 m, Kışlaya 100 m, Hatay Valiliğine 150 m, Saray Caddesine 200 m,  Köprübaşına 650 m ve Çarşı Merkezine 750 m mesafededir.</w:t>
      </w:r>
    </w:p>
    <w:p w:rsidR="00162C9F" w:rsidRPr="00162C9F" w:rsidRDefault="00162C9F" w:rsidP="00015455">
      <w:pPr>
        <w:spacing w:line="240" w:lineRule="auto"/>
        <w:jc w:val="both"/>
        <w:rPr>
          <w:rFonts w:cstheme="minorHAnsi"/>
          <w:sz w:val="24"/>
          <w:szCs w:val="24"/>
        </w:rPr>
      </w:pPr>
      <w:r w:rsidRPr="00162C9F">
        <w:rPr>
          <w:rFonts w:cstheme="minorHAnsi"/>
          <w:sz w:val="24"/>
          <w:szCs w:val="24"/>
        </w:rPr>
        <w:t xml:space="preserve">Bölge sosyo ekonomik açıdan orta ve üst düzey gelir grubuna hitap eden yerleşim bölgesi olarak gelişmiştir. Planlı yapılaşmaya sahip olan bölgenin (yol, su, elektrik, doğalgaz, kanalizasyon) altyapısı tamamlanmıştır. </w:t>
      </w:r>
    </w:p>
    <w:p w:rsidR="00162C9F" w:rsidRPr="00162C9F" w:rsidRDefault="00162C9F" w:rsidP="00162C9F">
      <w:pPr>
        <w:pStyle w:val="AralkYok"/>
        <w:spacing w:line="276" w:lineRule="auto"/>
        <w:jc w:val="both"/>
        <w:rPr>
          <w:rFonts w:cstheme="minorHAnsi"/>
          <w:sz w:val="24"/>
          <w:szCs w:val="24"/>
        </w:rPr>
      </w:pPr>
      <w:r w:rsidRPr="00015455">
        <w:rPr>
          <w:rFonts w:cstheme="minorHAnsi"/>
          <w:b/>
          <w:sz w:val="24"/>
          <w:szCs w:val="24"/>
        </w:rPr>
        <w:t>Tapu Kaydı</w:t>
      </w:r>
      <w:r w:rsidRPr="00162C9F">
        <w:rPr>
          <w:rFonts w:cstheme="minorHAnsi"/>
          <w:sz w:val="24"/>
          <w:szCs w:val="24"/>
        </w:rPr>
        <w:t>: Hatay İli, Antakya İlçesi, 2.Mıntıka Mah. 492 parselde kayıtlı 649,00 m2 yüzölçümlü “Beş Katlı On Daireli Bahçeli Karğir Apartman” vasıflı ana taşınmazda 200/1900 arsa paylı 3. kat 10 nolu bağımsız bölümdeki Mesken nitelikli tam hisseli taşınmazdır. Taşınmazın tamamı Hatay Valiliği Yatırım İzleme ve Koordinasyon Başkanlığı adına kayıtlıdır.</w:t>
      </w:r>
      <w:r w:rsidR="006908BC">
        <w:rPr>
          <w:rFonts w:cstheme="minorHAnsi"/>
          <w:sz w:val="24"/>
          <w:szCs w:val="24"/>
        </w:rPr>
        <w:t xml:space="preserve"> </w:t>
      </w:r>
      <w:r w:rsidRPr="00162C9F">
        <w:rPr>
          <w:rFonts w:cstheme="minorHAnsi"/>
          <w:sz w:val="24"/>
          <w:szCs w:val="24"/>
        </w:rPr>
        <w:t xml:space="preserve">Taşınmazın tapu kayıtları üzerinde Beyanlar Hanesinde “Yabancı uyruklu gerçek kişiler ile yabancı ülkelerde kendi ülkelerinin kanunlarına göre kurulan tüzel kişiliğe sahip ticaret şirketleri taşınmaz ve sınırlı ayni hak edinemezler” </w:t>
      </w:r>
      <w:r w:rsidR="006908BC">
        <w:rPr>
          <w:rFonts w:cstheme="minorHAnsi"/>
          <w:sz w:val="24"/>
          <w:szCs w:val="24"/>
        </w:rPr>
        <w:t>beyanı</w:t>
      </w:r>
      <w:r w:rsidRPr="00162C9F">
        <w:rPr>
          <w:rFonts w:cstheme="minorHAnsi"/>
          <w:sz w:val="24"/>
          <w:szCs w:val="24"/>
        </w:rPr>
        <w:t xml:space="preserve"> bulunmaktadır.</w:t>
      </w:r>
    </w:p>
    <w:p w:rsidR="00162C9F" w:rsidRPr="00162C9F" w:rsidRDefault="00162C9F" w:rsidP="00162C9F">
      <w:pPr>
        <w:jc w:val="both"/>
        <w:rPr>
          <w:rFonts w:cstheme="minorHAnsi"/>
          <w:sz w:val="24"/>
          <w:szCs w:val="24"/>
        </w:rPr>
      </w:pPr>
      <w:r w:rsidRPr="00015455">
        <w:rPr>
          <w:rFonts w:cstheme="minorHAnsi"/>
          <w:b/>
          <w:sz w:val="24"/>
          <w:szCs w:val="24"/>
        </w:rPr>
        <w:t>Ana Gayrimenkul Fiziki Özellikleri:</w:t>
      </w:r>
      <w:r w:rsidRPr="00162C9F">
        <w:rPr>
          <w:rFonts w:cstheme="minorHAnsi"/>
          <w:sz w:val="24"/>
          <w:szCs w:val="24"/>
        </w:rPr>
        <w:t xml:space="preserve"> Değerlemeye konu olan taşınmazın bulunduğu bina III/A yapı sınıfında, ayrık nizamda, bodrum, zemin ve 3 normal kat olmak üzere 5 katlı olarak inşa edilmiştir. Antakya Tapu Müdürlüğünde incelenen bila onay tarihli kat irtifakı projesine göre bodrum katında bina girişi ve 2 mesken, zemin ve normal katlarda her katta 2’şer adet mesken olmak üzere 10 adet bağımsız bölüm bulunmaktadır. Binanın dış cephesi dekoratif sıva üzeri plastik boyalı, giriş kapısı demir doğrama kapılı, girişi ve merdivenler mozaiktir. Binada asansör bulunmamaktadır.</w:t>
      </w:r>
    </w:p>
    <w:p w:rsidR="00162C9F" w:rsidRPr="00162C9F" w:rsidRDefault="00162C9F" w:rsidP="00015455">
      <w:pPr>
        <w:jc w:val="both"/>
        <w:rPr>
          <w:rFonts w:cstheme="minorHAnsi"/>
          <w:sz w:val="24"/>
          <w:szCs w:val="24"/>
        </w:rPr>
      </w:pPr>
      <w:r w:rsidRPr="00015455">
        <w:rPr>
          <w:rFonts w:cstheme="minorHAnsi"/>
          <w:b/>
          <w:sz w:val="24"/>
          <w:szCs w:val="24"/>
        </w:rPr>
        <w:t>10 Nolu Bağımsız Bölüm Özellikleri:</w:t>
      </w:r>
      <w:r w:rsidRPr="00162C9F">
        <w:rPr>
          <w:rFonts w:cstheme="minorHAnsi"/>
          <w:sz w:val="24"/>
          <w:szCs w:val="24"/>
        </w:rPr>
        <w:t xml:space="preserve"> Antakya Tapu Müdürlüğünde incelenen kat irtifakı projesine değerleme konusu 10 bağımsız bölüm nolu mesken bodrum kattan sağlanan bina girişine göre sağ cephede yer almaktadır. Taşınmaz kuzey-güney-batı cephelidir.Mahallinde yapılan incelemede net alanı 125,00 m2, brüt alanı 163,00 m2 olup antre, hol, salon, 4 oda, mutfak, banyo, wc ve 3 balkon hacminden oluşmaktadır. </w:t>
      </w:r>
    </w:p>
    <w:p w:rsidR="00162C9F" w:rsidRPr="00162C9F" w:rsidRDefault="00162C9F" w:rsidP="00162C9F">
      <w:pPr>
        <w:ind w:firstLine="708"/>
        <w:jc w:val="both"/>
        <w:rPr>
          <w:rFonts w:cstheme="minorHAnsi"/>
          <w:sz w:val="24"/>
          <w:szCs w:val="24"/>
        </w:rPr>
      </w:pPr>
      <w:r w:rsidRPr="00162C9F">
        <w:rPr>
          <w:rFonts w:cstheme="minorHAnsi"/>
          <w:sz w:val="24"/>
          <w:szCs w:val="24"/>
        </w:rPr>
        <w:t>Dairenin dış kapı çelik doğramalı, iç kapı doğramaları ahşap pencere doğramaları ise PVC</w:t>
      </w:r>
      <w:r w:rsidR="00015455">
        <w:rPr>
          <w:rFonts w:cstheme="minorHAnsi"/>
          <w:sz w:val="24"/>
          <w:szCs w:val="24"/>
        </w:rPr>
        <w:t>,</w:t>
      </w:r>
      <w:r w:rsidRPr="00162C9F">
        <w:rPr>
          <w:rFonts w:cstheme="minorHAnsi"/>
          <w:sz w:val="24"/>
          <w:szCs w:val="24"/>
        </w:rPr>
        <w:t xml:space="preserve">lidir. Taşınmazda tüm zeminler mozaik seramik, duvarları yağlı boyalıdır. Islak zeminler olduğu gibi </w:t>
      </w:r>
      <w:r w:rsidRPr="00162C9F">
        <w:rPr>
          <w:rFonts w:cstheme="minorHAnsi"/>
          <w:sz w:val="24"/>
          <w:szCs w:val="24"/>
        </w:rPr>
        <w:lastRenderedPageBreak/>
        <w:t>seramiktir. Mutfakta ahşap dolaplar ve merm</w:t>
      </w:r>
      <w:r w:rsidR="00015455">
        <w:rPr>
          <w:rFonts w:cstheme="minorHAnsi"/>
          <w:sz w:val="24"/>
          <w:szCs w:val="24"/>
        </w:rPr>
        <w:t>er tezgah bulunmaktadır. D</w:t>
      </w:r>
      <w:r w:rsidRPr="00162C9F">
        <w:rPr>
          <w:rFonts w:cstheme="minorHAnsi"/>
          <w:sz w:val="24"/>
          <w:szCs w:val="24"/>
        </w:rPr>
        <w:t xml:space="preserve">oğalgaz kapı </w:t>
      </w:r>
      <w:r w:rsidR="00015455">
        <w:rPr>
          <w:rFonts w:cstheme="minorHAnsi"/>
          <w:sz w:val="24"/>
          <w:szCs w:val="24"/>
        </w:rPr>
        <w:t>girişine kadar gelmiş olup daire içerisine çekilmemiştir.</w:t>
      </w:r>
    </w:p>
    <w:p w:rsidR="000B5114" w:rsidRPr="00162C9F" w:rsidRDefault="00C32DE2" w:rsidP="00CB4A2A">
      <w:pPr>
        <w:spacing w:after="0" w:line="288" w:lineRule="auto"/>
        <w:ind w:left="-142" w:right="-142"/>
        <w:jc w:val="both"/>
        <w:rPr>
          <w:rFonts w:cstheme="minorHAnsi"/>
          <w:sz w:val="24"/>
          <w:szCs w:val="24"/>
        </w:rPr>
      </w:pPr>
      <w:r w:rsidRPr="00162C9F">
        <w:rPr>
          <w:rFonts w:cstheme="minorHAnsi"/>
          <w:b/>
          <w:sz w:val="24"/>
          <w:szCs w:val="24"/>
        </w:rPr>
        <w:t>4</w:t>
      </w:r>
      <w:r w:rsidR="000B5114" w:rsidRPr="00162C9F">
        <w:rPr>
          <w:rFonts w:cstheme="minorHAnsi"/>
          <w:sz w:val="24"/>
          <w:szCs w:val="24"/>
        </w:rPr>
        <w:t xml:space="preserve"> -İhaleye katılacak isteklilerin;</w:t>
      </w:r>
    </w:p>
    <w:p w:rsidR="000B5114" w:rsidRPr="00162C9F" w:rsidRDefault="000B5114" w:rsidP="00CB4A2A">
      <w:pPr>
        <w:pStyle w:val="ListeParagraf"/>
        <w:numPr>
          <w:ilvl w:val="0"/>
          <w:numId w:val="1"/>
        </w:numPr>
        <w:spacing w:after="0" w:line="288" w:lineRule="auto"/>
        <w:ind w:left="-142" w:right="-142" w:firstLine="426"/>
        <w:jc w:val="both"/>
        <w:rPr>
          <w:rFonts w:cstheme="minorHAnsi"/>
          <w:sz w:val="24"/>
          <w:szCs w:val="24"/>
        </w:rPr>
      </w:pPr>
      <w:r w:rsidRPr="00162C9F">
        <w:rPr>
          <w:rFonts w:cstheme="minorHAnsi"/>
          <w:sz w:val="24"/>
          <w:szCs w:val="24"/>
        </w:rPr>
        <w:t>Gerçek kişilerin; yasal yerleşim yeri belgesi  (İkametgâh il muhabiri) ile nüfus kayıt örneği veya nüfus cüzdanı fotokopisi,</w:t>
      </w:r>
    </w:p>
    <w:p w:rsidR="000B5114" w:rsidRPr="00162C9F" w:rsidRDefault="000B5114" w:rsidP="00CB4A2A">
      <w:pPr>
        <w:pStyle w:val="ListeParagraf"/>
        <w:numPr>
          <w:ilvl w:val="0"/>
          <w:numId w:val="1"/>
        </w:numPr>
        <w:spacing w:after="0" w:line="288" w:lineRule="auto"/>
        <w:ind w:left="-142" w:right="-142" w:firstLine="426"/>
        <w:jc w:val="both"/>
        <w:rPr>
          <w:rFonts w:cstheme="minorHAnsi"/>
          <w:sz w:val="24"/>
          <w:szCs w:val="24"/>
        </w:rPr>
      </w:pPr>
      <w:r w:rsidRPr="00162C9F">
        <w:rPr>
          <w:rFonts w:cstheme="minorHAnsi"/>
          <w:sz w:val="24"/>
          <w:szCs w:val="24"/>
        </w:rPr>
        <w:t>Tüzel kişilerin</w:t>
      </w:r>
      <w:r w:rsidR="00952A1A" w:rsidRPr="00162C9F">
        <w:rPr>
          <w:rFonts w:cstheme="minorHAnsi"/>
          <w:sz w:val="24"/>
          <w:szCs w:val="24"/>
        </w:rPr>
        <w:t xml:space="preserve">; </w:t>
      </w:r>
      <w:r w:rsidRPr="00162C9F">
        <w:rPr>
          <w:rFonts w:cstheme="minorHAnsi"/>
          <w:sz w:val="24"/>
          <w:szCs w:val="24"/>
        </w:rPr>
        <w:t xml:space="preserve">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temsile tam yetkili olduklarını gösterir noterlikçe tasdik edilmiş yetki belgesi ve imza sirkülerinin veya Vekâletname verilmesi halinde belge aslının veya noterlikçe tasdik edilmiş örneği, </w:t>
      </w:r>
      <w:bookmarkStart w:id="0" w:name="_GoBack"/>
      <w:bookmarkEnd w:id="0"/>
    </w:p>
    <w:p w:rsidR="000B5114" w:rsidRPr="00162C9F" w:rsidRDefault="000B5114" w:rsidP="00CB4A2A">
      <w:pPr>
        <w:pStyle w:val="ListeParagraf"/>
        <w:numPr>
          <w:ilvl w:val="0"/>
          <w:numId w:val="1"/>
        </w:numPr>
        <w:tabs>
          <w:tab w:val="left" w:pos="284"/>
        </w:tabs>
        <w:spacing w:after="0" w:line="288" w:lineRule="auto"/>
        <w:ind w:left="-142" w:right="-142" w:firstLine="426"/>
        <w:jc w:val="both"/>
        <w:rPr>
          <w:rFonts w:cstheme="minorHAnsi"/>
          <w:sz w:val="24"/>
          <w:szCs w:val="24"/>
        </w:rPr>
      </w:pPr>
      <w:r w:rsidRPr="00162C9F">
        <w:rPr>
          <w:rFonts w:cstheme="minorHAnsi"/>
          <w:sz w:val="24"/>
          <w:szCs w:val="24"/>
        </w:rPr>
        <w:t>Geçici Teminat Bedelinin Başkanlığımızın banka hesap numarasına yatırıldığına dair makbuz, Banka Teminat Mektubu,(Teminat Mektubunun Geçici, Süresiz, Limit içi olması ve Teyit belgesi) , 2886 Sayılı Kanunun 26.maddesinde belirtilen değerlerden herhangi biri olabilir.</w:t>
      </w:r>
    </w:p>
    <w:p w:rsidR="000B5114" w:rsidRPr="00162C9F" w:rsidRDefault="000B5114" w:rsidP="00CB4A2A">
      <w:pPr>
        <w:pStyle w:val="ListeParagraf"/>
        <w:numPr>
          <w:ilvl w:val="0"/>
          <w:numId w:val="1"/>
        </w:numPr>
        <w:spacing w:after="0" w:line="288" w:lineRule="auto"/>
        <w:ind w:left="-142" w:right="-142" w:firstLine="425"/>
        <w:jc w:val="both"/>
        <w:rPr>
          <w:rFonts w:cstheme="minorHAnsi"/>
          <w:sz w:val="24"/>
          <w:szCs w:val="24"/>
        </w:rPr>
      </w:pPr>
      <w:r w:rsidRPr="00162C9F">
        <w:rPr>
          <w:rFonts w:cstheme="minorHAnsi"/>
          <w:sz w:val="24"/>
          <w:szCs w:val="24"/>
        </w:rPr>
        <w:t>Teklifler ilanda belirtilen ihale saatine kadar, ihaleyi yapacak olan komisyon Başkanlığına teslim edilecektir. Teklifler iadeli taahhütlü olarak da gönderilebilir. Bu takdirde dış zarfa komisyon başkanlığının adresi ile ihale konusu işin adı, isteklinin adı ve soyadı ile açık adresi yazılır. Posta ile gönderilecek tekliflerin, ilanda belirtile</w:t>
      </w:r>
      <w:r w:rsidR="00C32DE2" w:rsidRPr="00162C9F">
        <w:rPr>
          <w:rFonts w:cstheme="minorHAnsi"/>
          <w:sz w:val="24"/>
          <w:szCs w:val="24"/>
        </w:rPr>
        <w:t>n ihale saatine kadar Komisyon B</w:t>
      </w:r>
      <w:r w:rsidRPr="00162C9F">
        <w:rPr>
          <w:rFonts w:cstheme="minorHAnsi"/>
          <w:sz w:val="24"/>
          <w:szCs w:val="24"/>
        </w:rPr>
        <w:t>aşkanlığına ulaştırılması zorunludur. Postadaki gecikme nedeniyle işleme konulamayacak olan tekliflerin alınış zamanı bir tutanakla tespit edilir. Komisyon Başkanlığına verilen teklifler herhangi bir sebeple geri alınamaz.</w:t>
      </w:r>
    </w:p>
    <w:p w:rsidR="000B5114" w:rsidRPr="00162C9F" w:rsidRDefault="00C32DE2" w:rsidP="00CB4A2A">
      <w:pPr>
        <w:spacing w:after="0" w:line="288" w:lineRule="auto"/>
        <w:ind w:left="-142" w:right="-142"/>
        <w:jc w:val="both"/>
        <w:rPr>
          <w:rFonts w:cstheme="minorHAnsi"/>
          <w:b/>
          <w:sz w:val="24"/>
          <w:szCs w:val="24"/>
          <w:u w:val="single"/>
        </w:rPr>
      </w:pPr>
      <w:r w:rsidRPr="00162C9F">
        <w:rPr>
          <w:rFonts w:cstheme="minorHAnsi"/>
          <w:b/>
          <w:sz w:val="24"/>
          <w:szCs w:val="24"/>
        </w:rPr>
        <w:t>5</w:t>
      </w:r>
      <w:r w:rsidR="000B5114" w:rsidRPr="00162C9F">
        <w:rPr>
          <w:rFonts w:cstheme="minorHAnsi"/>
          <w:sz w:val="24"/>
          <w:szCs w:val="24"/>
        </w:rPr>
        <w:t xml:space="preserve">- Onaylanan ihale kararının tebliğinden itibaren </w:t>
      </w:r>
      <w:r w:rsidR="006E04D5" w:rsidRPr="00162C9F">
        <w:rPr>
          <w:rFonts w:cstheme="minorHAnsi"/>
          <w:sz w:val="24"/>
          <w:szCs w:val="24"/>
        </w:rPr>
        <w:t>1</w:t>
      </w:r>
      <w:r w:rsidR="000B5114" w:rsidRPr="00162C9F">
        <w:rPr>
          <w:rFonts w:cstheme="minorHAnsi"/>
          <w:sz w:val="24"/>
          <w:szCs w:val="24"/>
        </w:rPr>
        <w:t xml:space="preserve">5 gün içinde alıcı tarafından ihale bedelinin </w:t>
      </w:r>
      <w:r w:rsidR="000B5114" w:rsidRPr="00AA7F62">
        <w:rPr>
          <w:rFonts w:cstheme="minorHAnsi"/>
          <w:sz w:val="24"/>
          <w:szCs w:val="24"/>
        </w:rPr>
        <w:t>peşin ödenmesi</w:t>
      </w:r>
      <w:r w:rsidR="000B5114" w:rsidRPr="00162C9F">
        <w:rPr>
          <w:rFonts w:cstheme="minorHAnsi"/>
          <w:sz w:val="24"/>
          <w:szCs w:val="24"/>
        </w:rPr>
        <w:t xml:space="preserve"> gerekmektedir. Başkanlığımız tarafından yapılan satış işlemleri ve bu işlemler sırasında düzenlenen belgeler, vergi, resim ve harçtan müstesna olmayıp tüm giderler istekliye aittir</w:t>
      </w:r>
      <w:r w:rsidR="00300796" w:rsidRPr="00162C9F">
        <w:rPr>
          <w:rFonts w:cstheme="minorHAnsi"/>
          <w:sz w:val="24"/>
          <w:szCs w:val="24"/>
        </w:rPr>
        <w:t>.</w:t>
      </w:r>
      <w:r w:rsidR="006E04D5" w:rsidRPr="00162C9F">
        <w:rPr>
          <w:rFonts w:cstheme="minorHAnsi"/>
          <w:sz w:val="24"/>
          <w:szCs w:val="24"/>
        </w:rPr>
        <w:t>(</w:t>
      </w:r>
      <w:r w:rsidR="000B5114" w:rsidRPr="00162C9F">
        <w:rPr>
          <w:rFonts w:cstheme="minorHAnsi"/>
          <w:sz w:val="24"/>
          <w:szCs w:val="24"/>
        </w:rPr>
        <w:t xml:space="preserve"> KDV oranı %</w:t>
      </w:r>
      <w:r w:rsidR="003B0E4C" w:rsidRPr="00162C9F">
        <w:rPr>
          <w:rFonts w:cstheme="minorHAnsi"/>
          <w:sz w:val="24"/>
          <w:szCs w:val="24"/>
        </w:rPr>
        <w:t>1</w:t>
      </w:r>
      <w:r w:rsidR="000B5114" w:rsidRPr="00162C9F">
        <w:rPr>
          <w:rFonts w:cstheme="minorHAnsi"/>
          <w:sz w:val="24"/>
          <w:szCs w:val="24"/>
        </w:rPr>
        <w:t xml:space="preserve"> uygulanacaktır.)</w:t>
      </w:r>
    </w:p>
    <w:p w:rsidR="000B5114" w:rsidRPr="00162C9F" w:rsidRDefault="00C32DE2" w:rsidP="00CB4A2A">
      <w:pPr>
        <w:spacing w:after="0" w:line="288" w:lineRule="auto"/>
        <w:ind w:left="-142" w:right="-142"/>
        <w:jc w:val="both"/>
        <w:rPr>
          <w:rFonts w:cstheme="minorHAnsi"/>
          <w:sz w:val="24"/>
          <w:szCs w:val="24"/>
        </w:rPr>
      </w:pPr>
      <w:r w:rsidRPr="00162C9F">
        <w:rPr>
          <w:rFonts w:cstheme="minorHAnsi"/>
          <w:b/>
          <w:sz w:val="24"/>
          <w:szCs w:val="24"/>
        </w:rPr>
        <w:t>6</w:t>
      </w:r>
      <w:r w:rsidR="000B5114" w:rsidRPr="00162C9F">
        <w:rPr>
          <w:rFonts w:cstheme="minorHAnsi"/>
          <w:sz w:val="24"/>
          <w:szCs w:val="24"/>
        </w:rPr>
        <w:t>-İdareye (Hatay YİKOB) borcu olanlar ihaleye katılamaz.</w:t>
      </w:r>
    </w:p>
    <w:p w:rsidR="000B5114" w:rsidRPr="00162C9F" w:rsidRDefault="00C32DE2" w:rsidP="00CB4A2A">
      <w:pPr>
        <w:spacing w:after="0" w:line="288" w:lineRule="auto"/>
        <w:ind w:left="-142" w:right="-142"/>
        <w:jc w:val="both"/>
        <w:rPr>
          <w:rFonts w:cstheme="minorHAnsi"/>
          <w:sz w:val="24"/>
          <w:szCs w:val="24"/>
        </w:rPr>
      </w:pPr>
      <w:r w:rsidRPr="00162C9F">
        <w:rPr>
          <w:rFonts w:cstheme="minorHAnsi"/>
          <w:b/>
          <w:sz w:val="24"/>
          <w:szCs w:val="24"/>
        </w:rPr>
        <w:t>7</w:t>
      </w:r>
      <w:r w:rsidR="000B5114" w:rsidRPr="00162C9F">
        <w:rPr>
          <w:rFonts w:cstheme="minorHAnsi"/>
          <w:sz w:val="24"/>
          <w:szCs w:val="24"/>
        </w:rPr>
        <w:t>-Komisyon ihaleyi yapıp yapmamakta serbesttir.</w:t>
      </w:r>
    </w:p>
    <w:p w:rsidR="000B5114" w:rsidRPr="00162C9F" w:rsidRDefault="000B5114" w:rsidP="00CB4A2A">
      <w:pPr>
        <w:spacing w:after="0" w:line="288" w:lineRule="auto"/>
        <w:ind w:left="-142" w:right="-142"/>
        <w:jc w:val="both"/>
        <w:rPr>
          <w:sz w:val="24"/>
          <w:szCs w:val="24"/>
        </w:rPr>
      </w:pPr>
      <w:r w:rsidRPr="00162C9F">
        <w:rPr>
          <w:rFonts w:cstheme="minorHAnsi"/>
          <w:sz w:val="24"/>
          <w:szCs w:val="24"/>
        </w:rPr>
        <w:t>(TE</w:t>
      </w:r>
      <w:r w:rsidR="00CB4A2A" w:rsidRPr="00162C9F">
        <w:rPr>
          <w:rFonts w:cstheme="minorHAnsi"/>
          <w:sz w:val="24"/>
          <w:szCs w:val="24"/>
        </w:rPr>
        <w:t>L: 0326- 214 03 30 Dâhili:213</w:t>
      </w:r>
      <w:r w:rsidR="00FE57E8" w:rsidRPr="00162C9F">
        <w:rPr>
          <w:rFonts w:cstheme="minorHAnsi"/>
          <w:sz w:val="24"/>
          <w:szCs w:val="24"/>
        </w:rPr>
        <w:t>1</w:t>
      </w:r>
      <w:r w:rsidR="00CB4A2A" w:rsidRPr="00162C9F">
        <w:rPr>
          <w:rFonts w:cstheme="minorHAnsi"/>
          <w:sz w:val="24"/>
          <w:szCs w:val="24"/>
        </w:rPr>
        <w:t xml:space="preserve"> </w:t>
      </w:r>
      <w:r w:rsidRPr="00162C9F">
        <w:rPr>
          <w:rFonts w:cstheme="minorHAnsi"/>
          <w:sz w:val="24"/>
          <w:szCs w:val="24"/>
        </w:rPr>
        <w:t>)  İLAN OLUNUR.</w:t>
      </w:r>
    </w:p>
    <w:sectPr w:rsidR="000B5114" w:rsidRPr="00162C9F" w:rsidSect="00EC457D">
      <w:pgSz w:w="11906" w:h="16838" w:code="9"/>
      <w:pgMar w:top="567" w:right="907" w:bottom="249" w:left="90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F16" w:rsidRDefault="00377F16" w:rsidP="00247DCA">
      <w:pPr>
        <w:spacing w:after="0" w:line="240" w:lineRule="auto"/>
      </w:pPr>
      <w:r>
        <w:separator/>
      </w:r>
    </w:p>
  </w:endnote>
  <w:endnote w:type="continuationSeparator" w:id="0">
    <w:p w:rsidR="00377F16" w:rsidRDefault="00377F16" w:rsidP="0024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F16" w:rsidRDefault="00377F16" w:rsidP="00247DCA">
      <w:pPr>
        <w:spacing w:after="0" w:line="240" w:lineRule="auto"/>
      </w:pPr>
      <w:r>
        <w:separator/>
      </w:r>
    </w:p>
  </w:footnote>
  <w:footnote w:type="continuationSeparator" w:id="0">
    <w:p w:rsidR="00377F16" w:rsidRDefault="00377F16" w:rsidP="00247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61685"/>
    <w:multiLevelType w:val="hybridMultilevel"/>
    <w:tmpl w:val="A32429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3A"/>
    <w:rsid w:val="00015455"/>
    <w:rsid w:val="0003067E"/>
    <w:rsid w:val="000361A3"/>
    <w:rsid w:val="00064ED7"/>
    <w:rsid w:val="000907BC"/>
    <w:rsid w:val="000A228F"/>
    <w:rsid w:val="000B478E"/>
    <w:rsid w:val="000B5114"/>
    <w:rsid w:val="0013529B"/>
    <w:rsid w:val="00162C9F"/>
    <w:rsid w:val="0016676A"/>
    <w:rsid w:val="00196FA2"/>
    <w:rsid w:val="00247DCA"/>
    <w:rsid w:val="002567B5"/>
    <w:rsid w:val="00284EFB"/>
    <w:rsid w:val="002902BF"/>
    <w:rsid w:val="002A4017"/>
    <w:rsid w:val="002D3B11"/>
    <w:rsid w:val="00300796"/>
    <w:rsid w:val="00377F16"/>
    <w:rsid w:val="003B0E4C"/>
    <w:rsid w:val="003F7D8C"/>
    <w:rsid w:val="0043276F"/>
    <w:rsid w:val="00435DC7"/>
    <w:rsid w:val="00526683"/>
    <w:rsid w:val="005B79A8"/>
    <w:rsid w:val="005F1250"/>
    <w:rsid w:val="006908BC"/>
    <w:rsid w:val="006B262C"/>
    <w:rsid w:val="006E04D5"/>
    <w:rsid w:val="007120B8"/>
    <w:rsid w:val="00745224"/>
    <w:rsid w:val="00786684"/>
    <w:rsid w:val="00790215"/>
    <w:rsid w:val="007D3522"/>
    <w:rsid w:val="008600A5"/>
    <w:rsid w:val="008A50AD"/>
    <w:rsid w:val="009302CB"/>
    <w:rsid w:val="00951C6D"/>
    <w:rsid w:val="00952A1A"/>
    <w:rsid w:val="00983C3A"/>
    <w:rsid w:val="009A4F2E"/>
    <w:rsid w:val="009A51F7"/>
    <w:rsid w:val="009B0E3F"/>
    <w:rsid w:val="009B17B3"/>
    <w:rsid w:val="009D69C5"/>
    <w:rsid w:val="00A3503F"/>
    <w:rsid w:val="00A85CF2"/>
    <w:rsid w:val="00A8635F"/>
    <w:rsid w:val="00AA7F62"/>
    <w:rsid w:val="00AE6ABD"/>
    <w:rsid w:val="00B00EF4"/>
    <w:rsid w:val="00B77D32"/>
    <w:rsid w:val="00C26F04"/>
    <w:rsid w:val="00C32DE2"/>
    <w:rsid w:val="00C40241"/>
    <w:rsid w:val="00C578F0"/>
    <w:rsid w:val="00CA0B43"/>
    <w:rsid w:val="00CB4A2A"/>
    <w:rsid w:val="00DA5810"/>
    <w:rsid w:val="00DA76A2"/>
    <w:rsid w:val="00DC05CB"/>
    <w:rsid w:val="00DF6369"/>
    <w:rsid w:val="00E702F4"/>
    <w:rsid w:val="00E80164"/>
    <w:rsid w:val="00EC457D"/>
    <w:rsid w:val="00ED1B86"/>
    <w:rsid w:val="00EF58F6"/>
    <w:rsid w:val="00F365A5"/>
    <w:rsid w:val="00F42B13"/>
    <w:rsid w:val="00F827AC"/>
    <w:rsid w:val="00FB0F91"/>
    <w:rsid w:val="00FE5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6732B-8D87-4C4C-BA40-02E89D22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600A5"/>
    <w:pPr>
      <w:ind w:left="720"/>
      <w:contextualSpacing/>
    </w:pPr>
  </w:style>
  <w:style w:type="paragraph" w:styleId="stBilgi">
    <w:name w:val="header"/>
    <w:basedOn w:val="Normal"/>
    <w:link w:val="stBilgiChar"/>
    <w:uiPriority w:val="99"/>
    <w:unhideWhenUsed/>
    <w:rsid w:val="00247D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7DCA"/>
  </w:style>
  <w:style w:type="paragraph" w:styleId="AltBilgi">
    <w:name w:val="footer"/>
    <w:basedOn w:val="Normal"/>
    <w:link w:val="AltBilgiChar"/>
    <w:uiPriority w:val="99"/>
    <w:unhideWhenUsed/>
    <w:rsid w:val="00247D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7DCA"/>
  </w:style>
  <w:style w:type="character" w:styleId="Kpr">
    <w:name w:val="Hyperlink"/>
    <w:basedOn w:val="VarsaylanParagrafYazTipi"/>
    <w:uiPriority w:val="99"/>
    <w:semiHidden/>
    <w:unhideWhenUsed/>
    <w:rsid w:val="009D69C5"/>
    <w:rPr>
      <w:color w:val="0000FF"/>
      <w:u w:val="single"/>
    </w:rPr>
  </w:style>
  <w:style w:type="paragraph" w:styleId="BalonMetni">
    <w:name w:val="Balloon Text"/>
    <w:basedOn w:val="Normal"/>
    <w:link w:val="BalonMetniChar"/>
    <w:uiPriority w:val="99"/>
    <w:semiHidden/>
    <w:unhideWhenUsed/>
    <w:rsid w:val="00EF58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58F6"/>
    <w:rPr>
      <w:rFonts w:ascii="Segoe UI" w:hAnsi="Segoe UI" w:cs="Segoe UI"/>
      <w:sz w:val="18"/>
      <w:szCs w:val="18"/>
    </w:rPr>
  </w:style>
  <w:style w:type="paragraph" w:styleId="AralkYok">
    <w:name w:val="No Spacing"/>
    <w:uiPriority w:val="1"/>
    <w:qFormat/>
    <w:rsid w:val="00162C9F"/>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13238">
      <w:bodyDiv w:val="1"/>
      <w:marLeft w:val="0"/>
      <w:marRight w:val="0"/>
      <w:marTop w:val="0"/>
      <w:marBottom w:val="0"/>
      <w:divBdr>
        <w:top w:val="none" w:sz="0" w:space="0" w:color="auto"/>
        <w:left w:val="none" w:sz="0" w:space="0" w:color="auto"/>
        <w:bottom w:val="none" w:sz="0" w:space="0" w:color="auto"/>
        <w:right w:val="none" w:sz="0" w:space="0" w:color="auto"/>
      </w:divBdr>
    </w:div>
    <w:div w:id="12811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2</Pages>
  <Words>867</Words>
  <Characters>4946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 Aibik</cp:lastModifiedBy>
  <cp:revision>33</cp:revision>
  <cp:lastPrinted>2021-01-19T09:03:00Z</cp:lastPrinted>
  <dcterms:created xsi:type="dcterms:W3CDTF">2020-06-18T05:14:00Z</dcterms:created>
  <dcterms:modified xsi:type="dcterms:W3CDTF">2021-01-20T09:42:00Z</dcterms:modified>
</cp:coreProperties>
</file>